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both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2：</w:t>
      </w:r>
    </w:p>
    <w:p>
      <w:pPr>
        <w:spacing w:afterLines="50" w:line="500" w:lineRule="exact"/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广东外语外贸大学公开学院各系专业</w:t>
      </w:r>
      <w:r>
        <w:rPr>
          <w:rFonts w:hint="eastAsia"/>
          <w:b/>
          <w:bCs/>
          <w:sz w:val="28"/>
          <w:szCs w:val="28"/>
          <w:lang w:eastAsia="zh-CN"/>
        </w:rPr>
        <w:t>及</w:t>
      </w:r>
    </w:p>
    <w:p>
      <w:pPr>
        <w:spacing w:afterLines="50" w:line="500" w:lineRule="exact"/>
        <w:jc w:val="center"/>
        <w:rPr>
          <w:sz w:val="24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2018届8本科毕业生</w:t>
      </w:r>
      <w:r>
        <w:rPr>
          <w:rFonts w:hint="eastAsia"/>
          <w:b/>
          <w:bCs/>
          <w:sz w:val="28"/>
          <w:szCs w:val="28"/>
        </w:rPr>
        <w:t>情况表</w:t>
      </w:r>
    </w:p>
    <w:tbl>
      <w:tblPr>
        <w:tblStyle w:val="4"/>
        <w:tblW w:w="7907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5235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系别</w:t>
            </w:r>
          </w:p>
        </w:tc>
        <w:tc>
          <w:tcPr>
            <w:tcW w:w="523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本科毕业总人数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外语系</w:t>
            </w:r>
          </w:p>
        </w:tc>
        <w:tc>
          <w:tcPr>
            <w:tcW w:w="5235" w:type="dxa"/>
            <w:vAlign w:val="top"/>
          </w:tcPr>
          <w:p>
            <w:pPr>
              <w:spacing w:line="5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日语、英语、商务英语、英语教育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国际商务系</w:t>
            </w:r>
          </w:p>
        </w:tc>
        <w:tc>
          <w:tcPr>
            <w:tcW w:w="5235" w:type="dxa"/>
            <w:vAlign w:val="top"/>
          </w:tcPr>
          <w:p>
            <w:pPr>
              <w:spacing w:line="5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国际贸易、国际旅游管理、人力资源管理、行政管理、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工商经济系</w:t>
            </w:r>
          </w:p>
        </w:tc>
        <w:tc>
          <w:tcPr>
            <w:tcW w:w="5235" w:type="dxa"/>
            <w:vAlign w:val="top"/>
          </w:tcPr>
          <w:p>
            <w:pPr>
              <w:spacing w:line="500" w:lineRule="exact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物流管理、商务管理、金融管理、现代企业管理、市场营销、工商企业管理、公共关系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艺术设计与信息管理系</w:t>
            </w:r>
          </w:p>
        </w:tc>
        <w:tc>
          <w:tcPr>
            <w:tcW w:w="5235" w:type="dxa"/>
            <w:vAlign w:val="top"/>
          </w:tcPr>
          <w:p>
            <w:pPr>
              <w:spacing w:line="5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计算机及应用、平面艺术设计、服装设计与工程、会计、环境艺术设计、动漫设计与制作、电子商务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总计</w:t>
            </w:r>
          </w:p>
        </w:tc>
        <w:tc>
          <w:tcPr>
            <w:tcW w:w="5235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956</w:t>
            </w:r>
          </w:p>
        </w:tc>
      </w:tr>
    </w:tbl>
    <w:p>
      <w:pPr>
        <w:spacing w:line="500" w:lineRule="exact"/>
        <w:jc w:val="left"/>
        <w:rPr>
          <w:rFonts w:hint="eastAsia" w:eastAsiaTheme="minorEastAsia"/>
          <w:sz w:val="24"/>
          <w:lang w:eastAsia="zh-CN"/>
        </w:rPr>
      </w:pPr>
    </w:p>
    <w:p>
      <w:pPr>
        <w:spacing w:line="500" w:lineRule="exact"/>
        <w:jc w:val="left"/>
        <w:rPr>
          <w:rFonts w:hint="eastAsia" w:eastAsiaTheme="minorEastAsia"/>
          <w:sz w:val="24"/>
          <w:lang w:eastAsia="zh-CN"/>
        </w:rPr>
      </w:pPr>
    </w:p>
    <w:p>
      <w:pPr>
        <w:spacing w:line="500" w:lineRule="exact"/>
        <w:jc w:val="left"/>
        <w:rPr>
          <w:rFonts w:hint="eastAsia"/>
          <w:sz w:val="24"/>
          <w:lang w:eastAsia="zh-CN"/>
        </w:rPr>
      </w:pPr>
    </w:p>
    <w:p>
      <w:pPr>
        <w:spacing w:line="500" w:lineRule="exact"/>
        <w:jc w:val="left"/>
        <w:rPr>
          <w:rFonts w:hint="eastAsia"/>
          <w:sz w:val="24"/>
          <w:lang w:eastAsia="zh-CN"/>
        </w:rPr>
      </w:pPr>
    </w:p>
    <w:p>
      <w:pPr>
        <w:spacing w:line="500" w:lineRule="exact"/>
        <w:jc w:val="left"/>
        <w:rPr>
          <w:rFonts w:hint="eastAsia"/>
          <w:sz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C1C33"/>
    <w:rsid w:val="294C1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2010-12-31T18:01:00Z</dcterms:created>
  <dc:creator>Administrator</dc:creator>
  <cp:lastModifiedBy>Administrator</cp:lastModifiedBy>
  <dcterms:modified xsi:type="dcterms:W3CDTF">2010-12-31T18:01:23Z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